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E4D" w:rsidRPr="008357BB" w:rsidRDefault="00CE3BDF" w:rsidP="00DB0BD8">
      <w:pPr>
        <w:jc w:val="left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Breakout 4: Focu</w:t>
      </w:r>
      <w:r w:rsidR="00285E4D" w:rsidRPr="008357BB">
        <w:rPr>
          <w:b/>
          <w:color w:val="FF0000"/>
          <w:u w:val="single"/>
        </w:rPr>
        <w:t>sed Conversations</w:t>
      </w:r>
    </w:p>
    <w:p w:rsidR="00285E4D" w:rsidRDefault="00285E4D" w:rsidP="00DB0BD8">
      <w:pPr>
        <w:jc w:val="left"/>
        <w:rPr>
          <w:u w:val="single"/>
        </w:rPr>
      </w:pPr>
    </w:p>
    <w:p w:rsidR="007B00ED" w:rsidRPr="007B00ED" w:rsidRDefault="007B00ED" w:rsidP="00DB0BD8">
      <w:pPr>
        <w:jc w:val="left"/>
        <w:rPr>
          <w:u w:val="single"/>
        </w:rPr>
      </w:pPr>
      <w:r w:rsidRPr="007B00ED">
        <w:rPr>
          <w:u w:val="single"/>
        </w:rPr>
        <w:t>Rational Aim:</w:t>
      </w:r>
    </w:p>
    <w:p w:rsidR="007B00ED" w:rsidRPr="007B00ED" w:rsidRDefault="007B00ED" w:rsidP="00DB0BD8">
      <w:pPr>
        <w:jc w:val="left"/>
      </w:pPr>
      <w:r w:rsidRPr="007B00ED">
        <w:t xml:space="preserve">Participants will explore the </w:t>
      </w:r>
      <w:r w:rsidR="00B5412A">
        <w:t>levels</w:t>
      </w:r>
      <w:r w:rsidRPr="007B00ED">
        <w:t xml:space="preserve"> of a F</w:t>
      </w:r>
      <w:r w:rsidR="00B5412A">
        <w:t xml:space="preserve">ocused Conversation and generate prompts for 2 </w:t>
      </w:r>
      <w:r w:rsidRPr="007B00ED">
        <w:t>focus</w:t>
      </w:r>
      <w:r w:rsidR="00B5412A">
        <w:t>ed</w:t>
      </w:r>
      <w:r w:rsidRPr="007B00ED">
        <w:t xml:space="preserve"> conversation</w:t>
      </w:r>
      <w:r w:rsidR="00B5412A">
        <w:t>s: 1</w:t>
      </w:r>
      <w:r w:rsidRPr="007B00ED">
        <w:t xml:space="preserve"> topic provided and one </w:t>
      </w:r>
      <w:r w:rsidR="00507D87">
        <w:t xml:space="preserve">topic </w:t>
      </w:r>
      <w:r w:rsidRPr="007B00ED">
        <w:t>of interest to them.</w:t>
      </w:r>
    </w:p>
    <w:p w:rsidR="007B00ED" w:rsidRPr="007B00ED" w:rsidRDefault="007B00ED" w:rsidP="00DB0BD8">
      <w:pPr>
        <w:jc w:val="left"/>
      </w:pPr>
    </w:p>
    <w:p w:rsidR="007B00ED" w:rsidRPr="007B00ED" w:rsidRDefault="007B00ED" w:rsidP="00DB0BD8">
      <w:pPr>
        <w:jc w:val="left"/>
        <w:rPr>
          <w:u w:val="single"/>
        </w:rPr>
      </w:pPr>
      <w:r w:rsidRPr="007B00ED">
        <w:rPr>
          <w:u w:val="single"/>
        </w:rPr>
        <w:t>Experiential Aim:</w:t>
      </w:r>
    </w:p>
    <w:p w:rsidR="007B00ED" w:rsidRDefault="000C3874" w:rsidP="00DB0BD8">
      <w:pPr>
        <w:jc w:val="left"/>
      </w:pPr>
      <w:r>
        <w:t>Participants will</w:t>
      </w:r>
      <w:r w:rsidRPr="000C3874">
        <w:t xml:space="preserve"> </w:t>
      </w:r>
      <w:r w:rsidRPr="007B00ED">
        <w:t>see that using FC is an effective way to facilitate group dialogue.</w:t>
      </w:r>
      <w:r>
        <w:t xml:space="preserve"> Participants will gain confidence in planning and </w:t>
      </w:r>
      <w:r w:rsidR="00507D87">
        <w:t>facilitating</w:t>
      </w:r>
      <w:r>
        <w:t xml:space="preserve"> a FC.</w:t>
      </w:r>
    </w:p>
    <w:p w:rsidR="00AF3EAB" w:rsidRDefault="00AF3EAB" w:rsidP="00DB0BD8">
      <w:pPr>
        <w:jc w:val="left"/>
      </w:pPr>
    </w:p>
    <w:p w:rsidR="00AF3EAB" w:rsidRDefault="00AF3EAB" w:rsidP="00AF3EAB">
      <w:pPr>
        <w:pStyle w:val="ListParagraph"/>
        <w:ind w:left="0"/>
        <w:jc w:val="left"/>
      </w:pPr>
      <w:r>
        <w:t>Materials required for this breakout:</w:t>
      </w:r>
    </w:p>
    <w:p w:rsidR="00AF3EAB" w:rsidRDefault="00AF3EAB" w:rsidP="00AF3EAB">
      <w:pPr>
        <w:pStyle w:val="ListParagraph"/>
        <w:numPr>
          <w:ilvl w:val="0"/>
          <w:numId w:val="6"/>
        </w:numPr>
        <w:jc w:val="left"/>
      </w:pPr>
      <w:r>
        <w:t>Sticky notes</w:t>
      </w:r>
      <w:r w:rsidR="00A20AAB">
        <w:t xml:space="preserve"> – yellow and blue</w:t>
      </w:r>
      <w:bookmarkStart w:id="0" w:name="_GoBack"/>
      <w:bookmarkEnd w:id="0"/>
    </w:p>
    <w:p w:rsidR="00AF3EAB" w:rsidRDefault="00AF3EAB" w:rsidP="00AF3EAB">
      <w:pPr>
        <w:pStyle w:val="ListParagraph"/>
        <w:numPr>
          <w:ilvl w:val="0"/>
          <w:numId w:val="1"/>
        </w:numPr>
        <w:jc w:val="left"/>
      </w:pPr>
      <w:r>
        <w:t>copies of chapter 2 and p</w:t>
      </w:r>
      <w:r w:rsidR="00507D87">
        <w:t>.</w:t>
      </w:r>
      <w:r>
        <w:t>197 from the resource “The Art of Focused Conversation for Schools” by Jo Nelson</w:t>
      </w:r>
    </w:p>
    <w:p w:rsidR="00AF3EAB" w:rsidRDefault="00AF3EAB" w:rsidP="00AF3EAB">
      <w:pPr>
        <w:pStyle w:val="ListParagraph"/>
        <w:numPr>
          <w:ilvl w:val="0"/>
          <w:numId w:val="1"/>
        </w:numPr>
        <w:jc w:val="left"/>
      </w:pPr>
      <w:r w:rsidRPr="007B00ED">
        <w:t>chart paper</w:t>
      </w:r>
    </w:p>
    <w:p w:rsidR="00AF3EAB" w:rsidRDefault="00AF3EAB" w:rsidP="00AF3EAB">
      <w:pPr>
        <w:pStyle w:val="ListParagraph"/>
        <w:numPr>
          <w:ilvl w:val="0"/>
          <w:numId w:val="1"/>
        </w:numPr>
        <w:jc w:val="left"/>
      </w:pPr>
      <w:r w:rsidRPr="007B00ED">
        <w:t>markers</w:t>
      </w:r>
    </w:p>
    <w:p w:rsidR="00F878C4" w:rsidRDefault="00F878C4" w:rsidP="00AF3EAB">
      <w:pPr>
        <w:pStyle w:val="ListParagraph"/>
        <w:numPr>
          <w:ilvl w:val="0"/>
          <w:numId w:val="1"/>
        </w:numPr>
        <w:jc w:val="left"/>
      </w:pPr>
      <w:r>
        <w:t>Ministry Documents</w:t>
      </w:r>
    </w:p>
    <w:p w:rsidR="00DE1F8C" w:rsidRDefault="00DE1F8C" w:rsidP="00DE1F8C">
      <w:pPr>
        <w:pStyle w:val="ListParagraph"/>
        <w:numPr>
          <w:ilvl w:val="1"/>
          <w:numId w:val="1"/>
        </w:numPr>
        <w:ind w:left="709" w:hanging="283"/>
        <w:jc w:val="left"/>
      </w:pPr>
      <w:r>
        <w:t>Maximizing Student Math Learning in Early Years</w:t>
      </w:r>
    </w:p>
    <w:p w:rsidR="00DE1F8C" w:rsidRPr="00C207F3" w:rsidRDefault="00DE1F8C" w:rsidP="00DE1F8C">
      <w:pPr>
        <w:pStyle w:val="ListParagraph"/>
        <w:numPr>
          <w:ilvl w:val="1"/>
          <w:numId w:val="1"/>
        </w:numPr>
        <w:ind w:left="709" w:hanging="283"/>
        <w:jc w:val="left"/>
      </w:pPr>
      <w:r w:rsidRPr="00C207F3">
        <w:t>Asking Effective Questions monograph</w:t>
      </w:r>
    </w:p>
    <w:p w:rsidR="00DE1F8C" w:rsidRDefault="00DE1F8C" w:rsidP="00DE1F8C">
      <w:pPr>
        <w:pStyle w:val="ListParagraph"/>
        <w:numPr>
          <w:ilvl w:val="1"/>
          <w:numId w:val="1"/>
        </w:numPr>
        <w:ind w:left="709" w:hanging="283"/>
        <w:jc w:val="left"/>
      </w:pPr>
      <w:r>
        <w:t xml:space="preserve">Paying Attention to </w:t>
      </w:r>
      <w:r w:rsidRPr="00C207F3">
        <w:t>Algebra</w:t>
      </w:r>
      <w:r>
        <w:t>ic Reasoning</w:t>
      </w:r>
    </w:p>
    <w:p w:rsidR="00DE1F8C" w:rsidRPr="00C207F3" w:rsidRDefault="00DE1F8C" w:rsidP="00DE1F8C">
      <w:pPr>
        <w:pStyle w:val="ListParagraph"/>
        <w:numPr>
          <w:ilvl w:val="1"/>
          <w:numId w:val="1"/>
        </w:numPr>
        <w:ind w:left="709" w:hanging="283"/>
        <w:jc w:val="left"/>
      </w:pPr>
      <w:r>
        <w:t>Paying Attention to Mathematics, K-12</w:t>
      </w:r>
      <w:r w:rsidRPr="00C207F3">
        <w:t xml:space="preserve"> </w:t>
      </w:r>
    </w:p>
    <w:p w:rsidR="00DE1F8C" w:rsidRDefault="00DE1F8C" w:rsidP="00DE1F8C">
      <w:pPr>
        <w:pStyle w:val="ListParagraph"/>
        <w:numPr>
          <w:ilvl w:val="1"/>
          <w:numId w:val="1"/>
        </w:numPr>
        <w:ind w:left="709" w:hanging="283"/>
        <w:jc w:val="left"/>
      </w:pPr>
      <w:r>
        <w:t xml:space="preserve">Communication in the Math Classroom </w:t>
      </w:r>
    </w:p>
    <w:p w:rsidR="00336D5E" w:rsidRDefault="00336D5E" w:rsidP="00507D87">
      <w:pPr>
        <w:ind w:left="426"/>
        <w:jc w:val="left"/>
      </w:pPr>
    </w:p>
    <w:p w:rsidR="00AF3EAB" w:rsidRDefault="005C321E" w:rsidP="00AF3EAB">
      <w:pPr>
        <w:pStyle w:val="ListParagraph"/>
        <w:numPr>
          <w:ilvl w:val="0"/>
          <w:numId w:val="1"/>
        </w:numPr>
        <w:jc w:val="left"/>
      </w:pPr>
      <w:r>
        <w:t>BLM 4.1</w:t>
      </w:r>
      <w:r w:rsidR="00AF3EAB">
        <w:t>, 4.2 (reconstructed from the resource  p</w:t>
      </w:r>
      <w:r w:rsidR="00507D87">
        <w:t>.</w:t>
      </w:r>
      <w:r w:rsidR="00AF3EAB" w:rsidRPr="007B00ED">
        <w:t xml:space="preserve">197 Debriefing </w:t>
      </w:r>
      <w:r w:rsidR="00AF3EAB">
        <w:t>the Day) – one copy of each per pair, 4.3 (available electronically only), 4.4 (one per person)</w:t>
      </w:r>
    </w:p>
    <w:p w:rsidR="00285E4D" w:rsidRPr="007B00ED" w:rsidRDefault="00285E4D" w:rsidP="00DB0BD8">
      <w:pPr>
        <w:jc w:val="left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88"/>
        <w:gridCol w:w="2409"/>
      </w:tblGrid>
      <w:tr w:rsidR="007B00ED" w:rsidRPr="007B00ED" w:rsidTr="00507D87">
        <w:tc>
          <w:tcPr>
            <w:tcW w:w="1384" w:type="dxa"/>
          </w:tcPr>
          <w:p w:rsidR="007B00ED" w:rsidRPr="008357BB" w:rsidRDefault="007B00ED" w:rsidP="00DB0BD8">
            <w:pPr>
              <w:jc w:val="left"/>
              <w:rPr>
                <w:b/>
                <w:color w:val="4F81BD" w:themeColor="accent1"/>
              </w:rPr>
            </w:pPr>
            <w:r w:rsidRPr="008357BB">
              <w:rPr>
                <w:b/>
                <w:color w:val="4F81BD" w:themeColor="accent1"/>
              </w:rPr>
              <w:t>Minds On</w:t>
            </w:r>
          </w:p>
          <w:p w:rsidR="00285E4D" w:rsidRPr="008357BB" w:rsidRDefault="00285E4D" w:rsidP="00DB0BD8">
            <w:pPr>
              <w:jc w:val="left"/>
              <w:rPr>
                <w:b/>
                <w:color w:val="4F81BD" w:themeColor="accent1"/>
              </w:rPr>
            </w:pPr>
          </w:p>
          <w:p w:rsidR="00285E4D" w:rsidRPr="008357BB" w:rsidRDefault="00285E4D" w:rsidP="00DB0BD8">
            <w:pPr>
              <w:jc w:val="left"/>
              <w:rPr>
                <w:b/>
                <w:color w:val="4F81BD" w:themeColor="accent1"/>
              </w:rPr>
            </w:pPr>
            <w:r w:rsidRPr="008357BB">
              <w:rPr>
                <w:b/>
                <w:color w:val="4F81BD" w:themeColor="accent1"/>
              </w:rPr>
              <w:t>15 min</w:t>
            </w:r>
          </w:p>
        </w:tc>
        <w:tc>
          <w:tcPr>
            <w:tcW w:w="7088" w:type="dxa"/>
          </w:tcPr>
          <w:p w:rsidR="007B00ED" w:rsidRPr="007B00ED" w:rsidRDefault="007B00ED" w:rsidP="007B00ED">
            <w:pPr>
              <w:pStyle w:val="ListParagraph"/>
              <w:numPr>
                <w:ilvl w:val="0"/>
                <w:numId w:val="1"/>
              </w:numPr>
              <w:jc w:val="left"/>
            </w:pPr>
            <w:r w:rsidRPr="007B00ED">
              <w:t xml:space="preserve">Groups of 4 - </w:t>
            </w:r>
            <w:r w:rsidR="005C321E">
              <w:t xml:space="preserve">Handout copies of chapter 2, 1 per participant. </w:t>
            </w:r>
            <w:r w:rsidR="005C321E" w:rsidRPr="007B00ED">
              <w:t>Participants will be divided into 4 groups</w:t>
            </w:r>
            <w:r w:rsidR="005C321E">
              <w:t xml:space="preserve">. </w:t>
            </w:r>
            <w:r w:rsidRPr="007B00ED">
              <w:t xml:space="preserve">Each group is </w:t>
            </w:r>
            <w:r w:rsidR="005C321E">
              <w:t>assigned</w:t>
            </w:r>
            <w:r w:rsidRPr="007B00ED">
              <w:t xml:space="preserve"> </w:t>
            </w:r>
            <w:r w:rsidR="00B5412A">
              <w:t xml:space="preserve">a description of 1 of the 4 levels of a FC (from </w:t>
            </w:r>
            <w:r w:rsidRPr="007B00ED">
              <w:t>chapter 2</w:t>
            </w:r>
            <w:r w:rsidR="00B5412A">
              <w:t>)</w:t>
            </w:r>
            <w:r w:rsidRPr="007B00ED">
              <w:t xml:space="preserve"> </w:t>
            </w:r>
            <w:r w:rsidR="00B5412A">
              <w:t>to read and summarize.</w:t>
            </w:r>
            <w:r w:rsidR="005C321E">
              <w:t xml:space="preserve"> (PPT slide 2) Participants </w:t>
            </w:r>
            <w:r w:rsidR="00B5412A">
              <w:t xml:space="preserve">use the following guiding questions: </w:t>
            </w:r>
          </w:p>
          <w:p w:rsidR="007B00ED" w:rsidRPr="007B00ED" w:rsidRDefault="007B00ED" w:rsidP="007B00ED">
            <w:pPr>
              <w:pStyle w:val="ListParagraph"/>
              <w:numPr>
                <w:ilvl w:val="1"/>
                <w:numId w:val="1"/>
              </w:numPr>
              <w:jc w:val="left"/>
            </w:pPr>
            <w:r w:rsidRPr="007B00ED">
              <w:t xml:space="preserve">What </w:t>
            </w:r>
            <w:r w:rsidR="00B5412A">
              <w:t>information is being requested at this level</w:t>
            </w:r>
            <w:r w:rsidRPr="007B00ED">
              <w:t>?</w:t>
            </w:r>
          </w:p>
          <w:p w:rsidR="007B00ED" w:rsidRPr="007B00ED" w:rsidRDefault="007B00ED" w:rsidP="007B00ED">
            <w:pPr>
              <w:pStyle w:val="ListParagraph"/>
              <w:numPr>
                <w:ilvl w:val="1"/>
                <w:numId w:val="1"/>
              </w:numPr>
              <w:jc w:val="left"/>
            </w:pPr>
            <w:r w:rsidRPr="007B00ED">
              <w:t>What type of thinking is involved?</w:t>
            </w:r>
          </w:p>
          <w:p w:rsidR="007B00ED" w:rsidRPr="007B00ED" w:rsidRDefault="00B5412A" w:rsidP="007B00ED">
            <w:pPr>
              <w:pStyle w:val="ListParagraph"/>
              <w:numPr>
                <w:ilvl w:val="1"/>
                <w:numId w:val="1"/>
              </w:numPr>
              <w:jc w:val="left"/>
            </w:pPr>
            <w:r>
              <w:t>Why is this level critical to the success of the conversation?</w:t>
            </w:r>
          </w:p>
          <w:p w:rsidR="007B00ED" w:rsidRPr="007B00ED" w:rsidRDefault="007B00ED" w:rsidP="007B00ED">
            <w:pPr>
              <w:pStyle w:val="ListParagraph"/>
              <w:numPr>
                <w:ilvl w:val="0"/>
                <w:numId w:val="1"/>
              </w:numPr>
              <w:jc w:val="left"/>
            </w:pPr>
            <w:r w:rsidRPr="007B00ED">
              <w:t>E</w:t>
            </w:r>
            <w:r w:rsidR="00B5412A">
              <w:t>ach participant individually answers</w:t>
            </w:r>
            <w:r w:rsidRPr="007B00ED">
              <w:t xml:space="preserve"> the three questions and then the group </w:t>
            </w:r>
            <w:r w:rsidR="00B5412A">
              <w:t>comes</w:t>
            </w:r>
            <w:r w:rsidRPr="007B00ED">
              <w:t xml:space="preserve"> to consensus </w:t>
            </w:r>
            <w:r w:rsidR="00B5412A">
              <w:t>and record</w:t>
            </w:r>
            <w:r w:rsidR="005C321E">
              <w:t>s</w:t>
            </w:r>
            <w:r w:rsidR="00B5412A">
              <w:t xml:space="preserve"> on</w:t>
            </w:r>
            <w:r w:rsidRPr="007B00ED">
              <w:t xml:space="preserve"> the chart paper.</w:t>
            </w:r>
          </w:p>
          <w:p w:rsidR="007B00ED" w:rsidRDefault="007B00ED" w:rsidP="00DB0BD8">
            <w:pPr>
              <w:pStyle w:val="ListParagraph"/>
              <w:numPr>
                <w:ilvl w:val="0"/>
                <w:numId w:val="1"/>
              </w:numPr>
              <w:jc w:val="left"/>
            </w:pPr>
            <w:r w:rsidRPr="007B00ED">
              <w:t>Each group presents their chart paper summary.</w:t>
            </w:r>
          </w:p>
          <w:p w:rsidR="00C13579" w:rsidRPr="007B00ED" w:rsidRDefault="00B5412A" w:rsidP="005C321E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 xml:space="preserve">Participants </w:t>
            </w:r>
            <w:r w:rsidR="00C13579">
              <w:t xml:space="preserve">reflect on the </w:t>
            </w:r>
            <w:r>
              <w:t>previous</w:t>
            </w:r>
            <w:r w:rsidR="00C13579">
              <w:t xml:space="preserve"> breakouts and identify the </w:t>
            </w:r>
            <w:r>
              <w:t xml:space="preserve">levels of </w:t>
            </w:r>
            <w:r w:rsidR="00C13579">
              <w:t>FC</w:t>
            </w:r>
            <w:r>
              <w:t xml:space="preserve"> </w:t>
            </w:r>
            <w:r w:rsidR="005C321E">
              <w:t xml:space="preserve">in </w:t>
            </w:r>
            <w:r>
              <w:t>which they have engaged</w:t>
            </w:r>
            <w:r w:rsidR="00C13579">
              <w:t xml:space="preserve">. </w:t>
            </w:r>
            <w:r>
              <w:t>Facilitators may need to remind participants of previous FC. (PPT slide 4)</w:t>
            </w:r>
          </w:p>
        </w:tc>
        <w:tc>
          <w:tcPr>
            <w:tcW w:w="2409" w:type="dxa"/>
          </w:tcPr>
          <w:p w:rsidR="00285E4D" w:rsidRDefault="00285E4D" w:rsidP="00285E4D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copies of chapter 2</w:t>
            </w:r>
            <w:r w:rsidR="00B5412A">
              <w:t xml:space="preserve"> </w:t>
            </w:r>
            <w:r w:rsidR="00106CDA">
              <w:t>and p</w:t>
            </w:r>
            <w:r w:rsidR="00507D87">
              <w:t>.</w:t>
            </w:r>
            <w:r w:rsidR="00106CDA">
              <w:t xml:space="preserve">197 </w:t>
            </w:r>
            <w:r w:rsidR="00B5412A">
              <w:t>from the resource “The Art of Focused Conversation for Schools” by Jo Nelson</w:t>
            </w:r>
          </w:p>
          <w:p w:rsidR="00285E4D" w:rsidRDefault="007B00ED" w:rsidP="00285E4D">
            <w:pPr>
              <w:pStyle w:val="ListParagraph"/>
              <w:numPr>
                <w:ilvl w:val="0"/>
                <w:numId w:val="1"/>
              </w:numPr>
              <w:jc w:val="left"/>
            </w:pPr>
            <w:r w:rsidRPr="007B00ED">
              <w:t>chart paper</w:t>
            </w:r>
          </w:p>
          <w:p w:rsidR="00106CDA" w:rsidRPr="007B00ED" w:rsidRDefault="007B00ED" w:rsidP="00AF3EAB">
            <w:pPr>
              <w:pStyle w:val="ListParagraph"/>
              <w:numPr>
                <w:ilvl w:val="0"/>
                <w:numId w:val="1"/>
              </w:numPr>
              <w:jc w:val="left"/>
            </w:pPr>
            <w:r w:rsidRPr="007B00ED">
              <w:t>markers</w:t>
            </w:r>
          </w:p>
        </w:tc>
      </w:tr>
      <w:tr w:rsidR="007B00ED" w:rsidRPr="007B00ED" w:rsidTr="00507D87">
        <w:tc>
          <w:tcPr>
            <w:tcW w:w="1384" w:type="dxa"/>
          </w:tcPr>
          <w:p w:rsidR="007B00ED" w:rsidRPr="008357BB" w:rsidRDefault="007B00ED" w:rsidP="00DB0BD8">
            <w:pPr>
              <w:jc w:val="left"/>
              <w:rPr>
                <w:b/>
                <w:color w:val="4F81BD" w:themeColor="accent1"/>
              </w:rPr>
            </w:pPr>
            <w:r w:rsidRPr="008357BB">
              <w:rPr>
                <w:b/>
                <w:color w:val="4F81BD" w:themeColor="accent1"/>
              </w:rPr>
              <w:t>Action</w:t>
            </w: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  <w:r w:rsidRPr="008357BB">
              <w:rPr>
                <w:b/>
                <w:color w:val="4F81BD" w:themeColor="accent1"/>
              </w:rPr>
              <w:t>15 min</w:t>
            </w: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</w:p>
          <w:p w:rsidR="006E4C57" w:rsidRPr="008357BB" w:rsidRDefault="006E4C57" w:rsidP="00DB0BD8">
            <w:pPr>
              <w:jc w:val="left"/>
              <w:rPr>
                <w:b/>
                <w:color w:val="4F81BD" w:themeColor="accent1"/>
              </w:rPr>
            </w:pPr>
            <w:r w:rsidRPr="008357BB">
              <w:rPr>
                <w:b/>
                <w:color w:val="4F81BD" w:themeColor="accent1"/>
              </w:rPr>
              <w:t>20 min</w:t>
            </w:r>
          </w:p>
        </w:tc>
        <w:tc>
          <w:tcPr>
            <w:tcW w:w="7088" w:type="dxa"/>
          </w:tcPr>
          <w:p w:rsidR="007B00ED" w:rsidRPr="007B00ED" w:rsidRDefault="007B00ED" w:rsidP="007B00ED">
            <w:pPr>
              <w:jc w:val="left"/>
            </w:pPr>
            <w:r w:rsidRPr="007B00ED">
              <w:t>Part 1</w:t>
            </w:r>
            <w:r w:rsidR="00106CDA">
              <w:t xml:space="preserve"> - Paired activity</w:t>
            </w:r>
          </w:p>
          <w:p w:rsidR="007B00ED" w:rsidRPr="007B00ED" w:rsidRDefault="007B00ED" w:rsidP="007B00ED">
            <w:pPr>
              <w:pStyle w:val="ListParagraph"/>
              <w:numPr>
                <w:ilvl w:val="0"/>
                <w:numId w:val="2"/>
              </w:numPr>
              <w:jc w:val="left"/>
            </w:pPr>
            <w:r w:rsidRPr="007B00ED">
              <w:t xml:space="preserve">Each </w:t>
            </w:r>
            <w:r w:rsidR="00B5412A">
              <w:t>pair</w:t>
            </w:r>
            <w:r w:rsidRPr="007B00ED">
              <w:t xml:space="preserve"> </w:t>
            </w:r>
            <w:r w:rsidR="005C321E">
              <w:t xml:space="preserve">is </w:t>
            </w:r>
            <w:r w:rsidRPr="007B00ED">
              <w:t xml:space="preserve">given </w:t>
            </w:r>
            <w:r w:rsidR="005C321E">
              <w:t xml:space="preserve">(BLM 4.1). They </w:t>
            </w:r>
            <w:r w:rsidR="00106CDA" w:rsidRPr="007B00ED">
              <w:t xml:space="preserve">read </w:t>
            </w:r>
            <w:r w:rsidR="00106CDA">
              <w:t xml:space="preserve">the </w:t>
            </w:r>
            <w:r w:rsidR="00106CDA" w:rsidRPr="007B00ED">
              <w:t>background information to set context for FC (material on left of template).</w:t>
            </w:r>
            <w:r w:rsidR="00B5412A">
              <w:t xml:space="preserve"> </w:t>
            </w:r>
            <w:r w:rsidR="00106CDA">
              <w:t xml:space="preserve">Using </w:t>
            </w:r>
            <w:r w:rsidRPr="007B00ED">
              <w:t>the questions cut up</w:t>
            </w:r>
            <w:r w:rsidR="00B5412A">
              <w:t xml:space="preserve"> (from BLM 4.2)</w:t>
            </w:r>
            <w:r w:rsidR="00106CDA">
              <w:t xml:space="preserve">, </w:t>
            </w:r>
            <w:r w:rsidR="005C321E">
              <w:t xml:space="preserve">each </w:t>
            </w:r>
            <w:r w:rsidR="00106CDA">
              <w:t>p</w:t>
            </w:r>
            <w:r w:rsidR="00B5412A">
              <w:t>air</w:t>
            </w:r>
            <w:r w:rsidRPr="007B00ED">
              <w:t xml:space="preserve"> sort</w:t>
            </w:r>
            <w:r w:rsidR="005C321E">
              <w:t>s the</w:t>
            </w:r>
            <w:r w:rsidRPr="007B00ED">
              <w:t xml:space="preserve"> question</w:t>
            </w:r>
            <w:r w:rsidR="005C321E">
              <w:t>s</w:t>
            </w:r>
            <w:r w:rsidRPr="007B00ED">
              <w:t xml:space="preserve"> into its appropriate level. </w:t>
            </w:r>
          </w:p>
          <w:p w:rsidR="007B00ED" w:rsidRPr="007B00ED" w:rsidRDefault="007B00ED" w:rsidP="007B00ED">
            <w:pPr>
              <w:pStyle w:val="ListParagraph"/>
              <w:numPr>
                <w:ilvl w:val="0"/>
                <w:numId w:val="2"/>
              </w:numPr>
              <w:jc w:val="left"/>
            </w:pPr>
            <w:r w:rsidRPr="007B00ED">
              <w:t xml:space="preserve">Handout </w:t>
            </w:r>
            <w:r w:rsidR="00B5412A">
              <w:t xml:space="preserve">copies of </w:t>
            </w:r>
            <w:r w:rsidRPr="007B00ED">
              <w:t xml:space="preserve">p.197 so that </w:t>
            </w:r>
            <w:r w:rsidR="00B5412A">
              <w:t>pairs</w:t>
            </w:r>
            <w:r w:rsidRPr="007B00ED">
              <w:t xml:space="preserve"> can </w:t>
            </w:r>
            <w:r w:rsidR="00B5412A">
              <w:t>reflect on their sort</w:t>
            </w:r>
          </w:p>
          <w:p w:rsidR="007B00ED" w:rsidRPr="007B00ED" w:rsidRDefault="00106CDA" w:rsidP="00DB0BD8">
            <w:pPr>
              <w:pStyle w:val="ListParagraph"/>
              <w:numPr>
                <w:ilvl w:val="1"/>
                <w:numId w:val="2"/>
              </w:numPr>
              <w:jc w:val="left"/>
            </w:pPr>
            <w:r>
              <w:t xml:space="preserve">PPT slide 6: </w:t>
            </w:r>
            <w:r w:rsidR="007B00ED" w:rsidRPr="007B00ED">
              <w:t xml:space="preserve">after they have had an opportunity to compare their sort against the template: </w:t>
            </w:r>
            <w:r w:rsidRPr="007B00ED">
              <w:t xml:space="preserve">ask </w:t>
            </w:r>
            <w:r w:rsidR="00336D5E">
              <w:t>“</w:t>
            </w:r>
            <w:r w:rsidR="007B00ED" w:rsidRPr="007B00ED">
              <w:t>What did you notice</w:t>
            </w:r>
            <w:r>
              <w:t xml:space="preserve"> about the types of questions being asked at each of the levels</w:t>
            </w:r>
            <w:r w:rsidR="007B00ED" w:rsidRPr="007B00ED">
              <w:t>?</w:t>
            </w:r>
            <w:r w:rsidR="00336D5E">
              <w:t>”</w:t>
            </w:r>
          </w:p>
          <w:p w:rsidR="006E4C57" w:rsidRDefault="006E4C57" w:rsidP="007B00ED">
            <w:pPr>
              <w:jc w:val="left"/>
            </w:pPr>
          </w:p>
          <w:p w:rsidR="007B00ED" w:rsidRPr="007B00ED" w:rsidRDefault="007B00ED" w:rsidP="007B00ED">
            <w:pPr>
              <w:jc w:val="left"/>
            </w:pPr>
            <w:r w:rsidRPr="007B00ED">
              <w:t>Part 2</w:t>
            </w:r>
            <w:r w:rsidR="00106CDA" w:rsidRPr="007B00ED">
              <w:t xml:space="preserve"> </w:t>
            </w:r>
            <w:r w:rsidR="00106CDA">
              <w:t xml:space="preserve">- </w:t>
            </w:r>
            <w:r w:rsidR="00106CDA" w:rsidRPr="007B00ED">
              <w:t>Groups of 4</w:t>
            </w:r>
            <w:r w:rsidR="00106CDA">
              <w:t xml:space="preserve"> </w:t>
            </w:r>
            <w:r w:rsidR="00DE1F8C">
              <w:t xml:space="preserve">- </w:t>
            </w:r>
            <w:r w:rsidR="00106CDA">
              <w:t>Creating a Focused Conversation</w:t>
            </w:r>
          </w:p>
          <w:p w:rsidR="007B00ED" w:rsidRPr="007B00ED" w:rsidRDefault="00106CDA" w:rsidP="007B00ED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 xml:space="preserve">Each </w:t>
            </w:r>
            <w:r w:rsidR="00DE1F8C">
              <w:t>of the regions</w:t>
            </w:r>
            <w:r>
              <w:t xml:space="preserve"> will </w:t>
            </w:r>
            <w:r w:rsidR="00DE1F8C">
              <w:t>use the document identified below</w:t>
            </w:r>
            <w:r>
              <w:t xml:space="preserve"> and</w:t>
            </w:r>
            <w:r w:rsidR="007B00ED" w:rsidRPr="007B00ED">
              <w:t xml:space="preserve"> will </w:t>
            </w:r>
            <w:r>
              <w:t xml:space="preserve">generate prompts/questions for each level of </w:t>
            </w:r>
            <w:r w:rsidR="007B00ED" w:rsidRPr="007B00ED">
              <w:t xml:space="preserve">a FC </w:t>
            </w:r>
            <w:r>
              <w:t>as well as experiential and rational aims of that FC. (PPT slide 7)</w:t>
            </w:r>
          </w:p>
          <w:p w:rsidR="007B00ED" w:rsidRPr="007B00ED" w:rsidRDefault="00C207F3" w:rsidP="007B00ED">
            <w:pPr>
              <w:pStyle w:val="ListParagraph"/>
              <w:numPr>
                <w:ilvl w:val="1"/>
                <w:numId w:val="3"/>
              </w:numPr>
              <w:jc w:val="left"/>
            </w:pPr>
            <w:r>
              <w:t>Maximizing Student Math Learning in Early Years</w:t>
            </w:r>
            <w:r w:rsidR="006E4C57">
              <w:t xml:space="preserve"> – </w:t>
            </w:r>
            <w:r w:rsidR="00106CDA">
              <w:t>London/North Bay</w:t>
            </w:r>
            <w:r w:rsidR="006E4C57">
              <w:t xml:space="preserve"> </w:t>
            </w:r>
            <w:r>
              <w:t>pp.4-5</w:t>
            </w:r>
          </w:p>
          <w:p w:rsidR="007B00ED" w:rsidRPr="00C207F3" w:rsidRDefault="00106CDA" w:rsidP="007B00ED">
            <w:pPr>
              <w:pStyle w:val="ListParagraph"/>
              <w:numPr>
                <w:ilvl w:val="1"/>
                <w:numId w:val="3"/>
              </w:numPr>
              <w:jc w:val="left"/>
            </w:pPr>
            <w:r w:rsidRPr="00C207F3">
              <w:t>Asking Effective Questions</w:t>
            </w:r>
            <w:r w:rsidR="007B00ED" w:rsidRPr="00C207F3">
              <w:t xml:space="preserve"> monograph</w:t>
            </w:r>
            <w:r w:rsidR="006E4C57" w:rsidRPr="00C207F3">
              <w:t xml:space="preserve"> – </w:t>
            </w:r>
            <w:r w:rsidRPr="00C207F3">
              <w:t>Barrie</w:t>
            </w:r>
            <w:r w:rsidR="006E4C57" w:rsidRPr="00C207F3">
              <w:t xml:space="preserve"> </w:t>
            </w:r>
            <w:r w:rsidR="00C207F3" w:rsidRPr="00C207F3">
              <w:t>pp.2-3</w:t>
            </w:r>
          </w:p>
          <w:p w:rsidR="007B00ED" w:rsidRPr="00C207F3" w:rsidRDefault="00C207F3" w:rsidP="007B00ED">
            <w:pPr>
              <w:pStyle w:val="ListParagraph"/>
              <w:numPr>
                <w:ilvl w:val="1"/>
                <w:numId w:val="3"/>
              </w:numPr>
              <w:jc w:val="left"/>
            </w:pPr>
            <w:r>
              <w:t xml:space="preserve">Paying Attention to </w:t>
            </w:r>
            <w:r w:rsidR="00106CDA" w:rsidRPr="00C207F3">
              <w:t>Algebra</w:t>
            </w:r>
            <w:r w:rsidR="00336D5E">
              <w:t>ic Reasoning</w:t>
            </w:r>
            <w:r>
              <w:t xml:space="preserve"> </w:t>
            </w:r>
            <w:r w:rsidR="006E4C57" w:rsidRPr="00C207F3">
              <w:t xml:space="preserve">– </w:t>
            </w:r>
            <w:r w:rsidR="00106CDA" w:rsidRPr="00C207F3">
              <w:t>Ottawa</w:t>
            </w:r>
            <w:r w:rsidR="006E4C57" w:rsidRPr="00C207F3">
              <w:t xml:space="preserve"> pp.20-</w:t>
            </w:r>
            <w:r w:rsidR="00106CDA" w:rsidRPr="00C207F3">
              <w:t>2</w:t>
            </w:r>
            <w:r>
              <w:t>1</w:t>
            </w:r>
          </w:p>
          <w:p w:rsidR="007B00ED" w:rsidRPr="00C207F3" w:rsidRDefault="00C207F3" w:rsidP="007B00ED">
            <w:pPr>
              <w:pStyle w:val="ListParagraph"/>
              <w:numPr>
                <w:ilvl w:val="1"/>
                <w:numId w:val="3"/>
              </w:numPr>
              <w:jc w:val="left"/>
            </w:pPr>
            <w:r>
              <w:t>Paying Attention to Mathematics, K-12</w:t>
            </w:r>
            <w:r w:rsidR="006E4C57" w:rsidRPr="00C207F3">
              <w:t xml:space="preserve"> – </w:t>
            </w:r>
            <w:r w:rsidR="00106CDA" w:rsidRPr="00C207F3">
              <w:t xml:space="preserve">Toronto A / Thunder Bay </w:t>
            </w:r>
            <w:r>
              <w:t>p.5</w:t>
            </w:r>
          </w:p>
          <w:p w:rsidR="007B00ED" w:rsidRPr="00C207F3" w:rsidRDefault="00C207F3" w:rsidP="007B00ED">
            <w:pPr>
              <w:pStyle w:val="ListParagraph"/>
              <w:numPr>
                <w:ilvl w:val="1"/>
                <w:numId w:val="3"/>
              </w:numPr>
              <w:jc w:val="left"/>
            </w:pPr>
            <w:r>
              <w:t xml:space="preserve">Communication in the Math Classroom, </w:t>
            </w:r>
            <w:r w:rsidR="00DE1F8C">
              <w:t xml:space="preserve">- Toronto B </w:t>
            </w:r>
            <w:r>
              <w:t>p.1 to top of page 2.</w:t>
            </w:r>
          </w:p>
          <w:p w:rsidR="007B00ED" w:rsidRPr="007B00ED" w:rsidRDefault="006E4C57" w:rsidP="00A20AAB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 xml:space="preserve">Groups record their focused conversation </w:t>
            </w:r>
            <w:r w:rsidR="00106CDA">
              <w:t xml:space="preserve">prompts/questions </w:t>
            </w:r>
            <w:r>
              <w:t>on chart paper and post around the room.</w:t>
            </w:r>
          </w:p>
        </w:tc>
        <w:tc>
          <w:tcPr>
            <w:tcW w:w="2409" w:type="dxa"/>
          </w:tcPr>
          <w:p w:rsidR="005C321E" w:rsidRDefault="005C321E" w:rsidP="00DE1F8C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copies of chapter 2 and p.197 from the resource “The Art of Focused Conversation for Schools” by Jo Nelson</w:t>
            </w:r>
          </w:p>
          <w:p w:rsidR="00285E4D" w:rsidRDefault="00DE1F8C" w:rsidP="00DB0BD8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 xml:space="preserve">BLM 4.1. , 4.2 </w:t>
            </w:r>
          </w:p>
          <w:p w:rsidR="00106CDA" w:rsidRDefault="00106CDA" w:rsidP="00106CDA">
            <w:pPr>
              <w:jc w:val="left"/>
            </w:pPr>
          </w:p>
          <w:p w:rsidR="00DE1F8C" w:rsidRDefault="00DE1F8C" w:rsidP="00DE1F8C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Maximizing Student Math Learning in Early Years</w:t>
            </w:r>
          </w:p>
          <w:p w:rsidR="00DE1F8C" w:rsidRPr="00C207F3" w:rsidRDefault="00DE1F8C" w:rsidP="00DE1F8C">
            <w:pPr>
              <w:pStyle w:val="ListParagraph"/>
              <w:numPr>
                <w:ilvl w:val="0"/>
                <w:numId w:val="1"/>
              </w:numPr>
              <w:jc w:val="left"/>
            </w:pPr>
            <w:r w:rsidRPr="00C207F3">
              <w:t>Asking Effective Questions monograph</w:t>
            </w:r>
          </w:p>
          <w:p w:rsidR="00DE1F8C" w:rsidRDefault="00DE1F8C" w:rsidP="00DE1F8C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 xml:space="preserve">Paying Attention to </w:t>
            </w:r>
            <w:r w:rsidRPr="00C207F3">
              <w:t>Algebra</w:t>
            </w:r>
            <w:r>
              <w:t>ic Reasoning</w:t>
            </w:r>
          </w:p>
          <w:p w:rsidR="00DE1F8C" w:rsidRPr="00C207F3" w:rsidRDefault="00DE1F8C" w:rsidP="00DE1F8C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Paying Attention to Mathematics, K-12</w:t>
            </w:r>
            <w:r w:rsidRPr="00C207F3">
              <w:t xml:space="preserve"> </w:t>
            </w:r>
          </w:p>
          <w:p w:rsidR="00106CDA" w:rsidRPr="007B00ED" w:rsidRDefault="00DE1F8C" w:rsidP="00106CDA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Communication in the Math Classroom</w:t>
            </w:r>
          </w:p>
        </w:tc>
      </w:tr>
      <w:tr w:rsidR="00106CDA" w:rsidRPr="007B00ED" w:rsidTr="00507D87">
        <w:tc>
          <w:tcPr>
            <w:tcW w:w="1384" w:type="dxa"/>
          </w:tcPr>
          <w:p w:rsidR="00106CDA" w:rsidRPr="008357BB" w:rsidRDefault="00106CDA" w:rsidP="00106CDA">
            <w:pPr>
              <w:jc w:val="left"/>
              <w:rPr>
                <w:color w:val="4F81BD" w:themeColor="accent1"/>
              </w:rPr>
            </w:pPr>
            <w:r w:rsidRPr="008357BB">
              <w:rPr>
                <w:color w:val="4F81BD" w:themeColor="accent1"/>
              </w:rPr>
              <w:lastRenderedPageBreak/>
              <w:t>Consolidate/Debrief</w:t>
            </w:r>
          </w:p>
          <w:p w:rsidR="00106CDA" w:rsidRPr="008357BB" w:rsidRDefault="00106CDA" w:rsidP="00106CDA">
            <w:pPr>
              <w:jc w:val="left"/>
              <w:rPr>
                <w:color w:val="4F81BD" w:themeColor="accent1"/>
              </w:rPr>
            </w:pPr>
          </w:p>
          <w:p w:rsidR="00106CDA" w:rsidRPr="008357BB" w:rsidRDefault="00106CDA" w:rsidP="00106CDA">
            <w:pPr>
              <w:jc w:val="left"/>
              <w:rPr>
                <w:color w:val="4F81BD" w:themeColor="accent1"/>
              </w:rPr>
            </w:pPr>
            <w:r w:rsidRPr="008357BB">
              <w:rPr>
                <w:color w:val="4F81BD" w:themeColor="accent1"/>
              </w:rPr>
              <w:t>30 min</w:t>
            </w:r>
          </w:p>
          <w:p w:rsidR="00106CDA" w:rsidRPr="008357BB" w:rsidRDefault="00106CDA" w:rsidP="00106CDA">
            <w:pPr>
              <w:jc w:val="left"/>
              <w:rPr>
                <w:color w:val="4F81BD" w:themeColor="accent1"/>
              </w:rPr>
            </w:pPr>
          </w:p>
          <w:p w:rsidR="00106CDA" w:rsidRPr="008357BB" w:rsidRDefault="00106CDA" w:rsidP="00106CDA">
            <w:pPr>
              <w:jc w:val="left"/>
              <w:rPr>
                <w:color w:val="4F81BD" w:themeColor="accent1"/>
              </w:rPr>
            </w:pPr>
          </w:p>
          <w:p w:rsidR="00106CDA" w:rsidRPr="008357BB" w:rsidRDefault="00106CDA" w:rsidP="00106CDA">
            <w:pPr>
              <w:jc w:val="left"/>
              <w:rPr>
                <w:color w:val="4F81BD" w:themeColor="accent1"/>
              </w:rPr>
            </w:pPr>
          </w:p>
          <w:p w:rsidR="00106CDA" w:rsidRPr="008357BB" w:rsidRDefault="00106CDA" w:rsidP="00106CDA">
            <w:pPr>
              <w:jc w:val="left"/>
              <w:rPr>
                <w:color w:val="4F81BD" w:themeColor="accent1"/>
              </w:rPr>
            </w:pPr>
          </w:p>
          <w:p w:rsidR="00106CDA" w:rsidRPr="008357BB" w:rsidRDefault="00106CDA" w:rsidP="00106CDA">
            <w:pPr>
              <w:jc w:val="left"/>
              <w:rPr>
                <w:b/>
                <w:color w:val="4F81BD" w:themeColor="accent1"/>
              </w:rPr>
            </w:pPr>
            <w:r w:rsidRPr="008357BB">
              <w:rPr>
                <w:color w:val="4F81BD" w:themeColor="accent1"/>
              </w:rPr>
              <w:t>25 min</w:t>
            </w:r>
          </w:p>
        </w:tc>
        <w:tc>
          <w:tcPr>
            <w:tcW w:w="7088" w:type="dxa"/>
          </w:tcPr>
          <w:p w:rsidR="00106CDA" w:rsidRPr="006E4C57" w:rsidRDefault="00106CDA" w:rsidP="00106CDA">
            <w:pPr>
              <w:jc w:val="left"/>
            </w:pPr>
            <w:r>
              <w:t>Part 1- in their groups of 4</w:t>
            </w:r>
          </w:p>
          <w:p w:rsidR="00106CDA" w:rsidRDefault="00106CDA" w:rsidP="00106CDA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rPr>
                <w:b/>
              </w:rPr>
              <w:t xml:space="preserve">Gallery Walk - </w:t>
            </w:r>
            <w:r>
              <w:t>Participants view the completed FC and use sticky notes to provide feedback (PPT slide 8)</w:t>
            </w:r>
          </w:p>
          <w:p w:rsidR="00106CDA" w:rsidRDefault="00106CDA" w:rsidP="00106CDA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Participants then use the feedback provided by the group and complete their FC template (electronically this time) so it can be shared with participants in other breakouts.</w:t>
            </w:r>
          </w:p>
          <w:p w:rsidR="00106CDA" w:rsidRDefault="00106CDA" w:rsidP="00106CDA">
            <w:pPr>
              <w:jc w:val="left"/>
            </w:pPr>
          </w:p>
          <w:p w:rsidR="00106CDA" w:rsidRDefault="00106CDA" w:rsidP="00106CDA">
            <w:pPr>
              <w:jc w:val="left"/>
            </w:pPr>
            <w:r>
              <w:t>Part 2 – individually or in pairs</w:t>
            </w:r>
          </w:p>
          <w:p w:rsidR="00106CDA" w:rsidRPr="007B00ED" w:rsidRDefault="00106CDA" w:rsidP="00106CDA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>Create</w:t>
            </w:r>
            <w:r w:rsidRPr="007B00ED">
              <w:t xml:space="preserve"> FC questions </w:t>
            </w:r>
            <w:r w:rsidR="002645BD">
              <w:t>that can be used while facilitating du</w:t>
            </w:r>
            <w:r w:rsidRPr="007B00ED">
              <w:t>r</w:t>
            </w:r>
            <w:r w:rsidR="002645BD">
              <w:t>ing</w:t>
            </w:r>
            <w:r w:rsidRPr="007B00ED">
              <w:t xml:space="preserve"> next school year</w:t>
            </w:r>
            <w:r w:rsidR="002645BD">
              <w:t xml:space="preserve"> to work towards a personal goal</w:t>
            </w:r>
            <w:r w:rsidRPr="007B00ED">
              <w:t>.</w:t>
            </w:r>
          </w:p>
          <w:p w:rsidR="00106CDA" w:rsidRDefault="00106CDA" w:rsidP="002645BD">
            <w:pPr>
              <w:pStyle w:val="ListParagraph"/>
              <w:numPr>
                <w:ilvl w:val="1"/>
                <w:numId w:val="3"/>
              </w:numPr>
              <w:ind w:left="884" w:hanging="283"/>
              <w:jc w:val="left"/>
            </w:pPr>
            <w:r w:rsidRPr="007B00ED">
              <w:t xml:space="preserve">Participants may </w:t>
            </w:r>
            <w:r w:rsidR="002645BD">
              <w:t xml:space="preserve">partner and assist each other as they create their FC questions. </w:t>
            </w:r>
          </w:p>
          <w:p w:rsidR="00106CDA" w:rsidRPr="007B00ED" w:rsidRDefault="00106CDA" w:rsidP="002645BD">
            <w:pPr>
              <w:jc w:val="left"/>
            </w:pPr>
            <w:r>
              <w:t xml:space="preserve">Wrap up </w:t>
            </w:r>
            <w:r w:rsidR="002645BD">
              <w:t xml:space="preserve">the </w:t>
            </w:r>
            <w:r>
              <w:t xml:space="preserve">session by </w:t>
            </w:r>
            <w:r w:rsidR="002645BD">
              <w:t xml:space="preserve">providing time for </w:t>
            </w:r>
            <w:r>
              <w:t xml:space="preserve">participants to complete </w:t>
            </w:r>
            <w:r w:rsidR="002645BD">
              <w:t xml:space="preserve">the </w:t>
            </w:r>
            <w:r>
              <w:t>BLM 4.4 Exit Ticket.</w:t>
            </w:r>
          </w:p>
        </w:tc>
        <w:tc>
          <w:tcPr>
            <w:tcW w:w="2409" w:type="dxa"/>
          </w:tcPr>
          <w:p w:rsidR="00106CDA" w:rsidRDefault="00AF3EAB" w:rsidP="00AF3EAB">
            <w:pPr>
              <w:jc w:val="left"/>
            </w:pPr>
            <w:r>
              <w:t>BLM  4.3 (available electronically), 4.4</w:t>
            </w:r>
          </w:p>
        </w:tc>
      </w:tr>
    </w:tbl>
    <w:p w:rsidR="00F67045" w:rsidRPr="007B00ED" w:rsidRDefault="00F67045" w:rsidP="00DD5C3B">
      <w:pPr>
        <w:jc w:val="both"/>
      </w:pPr>
    </w:p>
    <w:sectPr w:rsidR="00F67045" w:rsidRPr="007B00ED" w:rsidSect="00507D8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C4B40"/>
    <w:multiLevelType w:val="hybridMultilevel"/>
    <w:tmpl w:val="18607D0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FE222D7"/>
    <w:multiLevelType w:val="hybridMultilevel"/>
    <w:tmpl w:val="AF6AEE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32715"/>
    <w:multiLevelType w:val="hybridMultilevel"/>
    <w:tmpl w:val="34F036B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77059E"/>
    <w:multiLevelType w:val="hybridMultilevel"/>
    <w:tmpl w:val="654A485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532190"/>
    <w:multiLevelType w:val="hybridMultilevel"/>
    <w:tmpl w:val="3FD0761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5F2AFB"/>
    <w:multiLevelType w:val="hybridMultilevel"/>
    <w:tmpl w:val="38C667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D8"/>
    <w:rsid w:val="000203A2"/>
    <w:rsid w:val="000550B2"/>
    <w:rsid w:val="000A4CFE"/>
    <w:rsid w:val="000C3874"/>
    <w:rsid w:val="00106CDA"/>
    <w:rsid w:val="00116777"/>
    <w:rsid w:val="00165460"/>
    <w:rsid w:val="0018422C"/>
    <w:rsid w:val="001F71C3"/>
    <w:rsid w:val="00207392"/>
    <w:rsid w:val="002645BD"/>
    <w:rsid w:val="00285E4D"/>
    <w:rsid w:val="00336D5E"/>
    <w:rsid w:val="00381151"/>
    <w:rsid w:val="00396C24"/>
    <w:rsid w:val="004025D6"/>
    <w:rsid w:val="00476115"/>
    <w:rsid w:val="00486087"/>
    <w:rsid w:val="00507D87"/>
    <w:rsid w:val="00541495"/>
    <w:rsid w:val="005C321E"/>
    <w:rsid w:val="006A4B9F"/>
    <w:rsid w:val="006E4C57"/>
    <w:rsid w:val="006F4890"/>
    <w:rsid w:val="0075386F"/>
    <w:rsid w:val="007B00ED"/>
    <w:rsid w:val="007D26D6"/>
    <w:rsid w:val="007F11F8"/>
    <w:rsid w:val="008357BB"/>
    <w:rsid w:val="008733B6"/>
    <w:rsid w:val="0089391A"/>
    <w:rsid w:val="00987BD9"/>
    <w:rsid w:val="009C7A01"/>
    <w:rsid w:val="00A0499F"/>
    <w:rsid w:val="00A20AAB"/>
    <w:rsid w:val="00AF3EAB"/>
    <w:rsid w:val="00B50305"/>
    <w:rsid w:val="00B5412A"/>
    <w:rsid w:val="00B936DE"/>
    <w:rsid w:val="00C13579"/>
    <w:rsid w:val="00C207F3"/>
    <w:rsid w:val="00C67BEB"/>
    <w:rsid w:val="00CE3BDF"/>
    <w:rsid w:val="00D7010B"/>
    <w:rsid w:val="00DA6306"/>
    <w:rsid w:val="00DA7706"/>
    <w:rsid w:val="00DB0BD8"/>
    <w:rsid w:val="00DD5C3B"/>
    <w:rsid w:val="00DE1F8C"/>
    <w:rsid w:val="00DF5C8A"/>
    <w:rsid w:val="00EC15B8"/>
    <w:rsid w:val="00EE1C03"/>
    <w:rsid w:val="00F67045"/>
    <w:rsid w:val="00F878C4"/>
    <w:rsid w:val="00FA6B0E"/>
    <w:rsid w:val="00FD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BD8"/>
    <w:pPr>
      <w:ind w:left="720"/>
      <w:contextualSpacing/>
    </w:pPr>
  </w:style>
  <w:style w:type="table" w:styleId="TableGrid">
    <w:name w:val="Table Grid"/>
    <w:basedOn w:val="TableNormal"/>
    <w:uiPriority w:val="59"/>
    <w:rsid w:val="007B0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5C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BD8"/>
    <w:pPr>
      <w:ind w:left="720"/>
      <w:contextualSpacing/>
    </w:pPr>
  </w:style>
  <w:style w:type="table" w:styleId="TableGrid">
    <w:name w:val="Table Grid"/>
    <w:basedOn w:val="TableNormal"/>
    <w:uiPriority w:val="59"/>
    <w:rsid w:val="007B00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5C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C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Alves</dc:creator>
  <cp:lastModifiedBy>DiLena, Sandy (EDU)</cp:lastModifiedBy>
  <cp:revision>7</cp:revision>
  <cp:lastPrinted>2013-07-30T18:45:00Z</cp:lastPrinted>
  <dcterms:created xsi:type="dcterms:W3CDTF">2013-07-29T16:18:00Z</dcterms:created>
  <dcterms:modified xsi:type="dcterms:W3CDTF">2013-07-30T19:11:00Z</dcterms:modified>
</cp:coreProperties>
</file>